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7DC5"/>
          <w:sz w:val="11"/>
          <w:szCs w:val="11"/>
          <w:lang w:eastAsia="it-IT"/>
        </w:rPr>
        <w:drawing>
          <wp:inline distT="0" distB="0" distL="0" distR="0">
            <wp:extent cx="85090" cy="85090"/>
            <wp:effectExtent l="19050" t="0" r="0" b="0"/>
            <wp:docPr id="1" name="Immagine 1" descr="http://www.avisabruzzo.it/immagini/red_list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isabruzzo.it/immagini/red_list_sma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754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t>Decreto Ministero Sanità 3 Marzo 2005 - (G.U. n.°85 13/04/2005)</w:t>
      </w:r>
      <w:r w:rsidRPr="008B1754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br/>
        <w:t xml:space="preserve">Caratteristiche e </w:t>
      </w:r>
      <w:proofErr w:type="spellStart"/>
      <w:r w:rsidRPr="008B1754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t>modalita`</w:t>
      </w:r>
      <w:proofErr w:type="spellEnd"/>
      <w:r w:rsidRPr="008B1754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t xml:space="preserve"> per la donazione del sangue e di </w:t>
      </w:r>
      <w:proofErr w:type="spellStart"/>
      <w:r w:rsidRPr="008B1754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t>emocomponenti</w:t>
      </w:r>
      <w:proofErr w:type="spellEnd"/>
      <w:r w:rsidR="003050DA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t xml:space="preserve">  </w:t>
      </w:r>
      <w:r>
        <w:rPr>
          <w:rFonts w:ascii="Arial" w:eastAsia="Times New Roman" w:hAnsi="Arial" w:cs="Arial"/>
          <w:b/>
          <w:bCs/>
          <w:noProof/>
          <w:color w:val="007DC5"/>
          <w:sz w:val="11"/>
          <w:szCs w:val="11"/>
          <w:lang w:eastAsia="it-IT"/>
        </w:rPr>
        <w:drawing>
          <wp:inline distT="0" distB="0" distL="0" distR="0">
            <wp:extent cx="4810760" cy="28575"/>
            <wp:effectExtent l="19050" t="0" r="8890" b="0"/>
            <wp:docPr id="2" name="Immagine 2" descr="http://www.avisabruzzo.it/immagini/linea_sf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isabruzzo.it/immagini/linea_sfu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DA">
        <w:rPr>
          <w:rFonts w:ascii="Arial" w:eastAsia="Times New Roman" w:hAnsi="Arial" w:cs="Arial"/>
          <w:b/>
          <w:bCs/>
          <w:color w:val="007DC5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IL MINISTERO DELLA SALUTE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Titolo 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RACCOLTA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SANGUE INTERO 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EMOCOMPONENTI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Vista la legge 23 dicembre 1978, n. 833, istitutiva del Servizio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sanitario nazionale, con particolare riguardo agli articoli 4, punto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n. 6, e 6, lettera c)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Vista la legge 4 maggio 1990, n. 107, «Disciplina per 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attivita`</w:t>
      </w:r>
      <w:proofErr w:type="spellEnd"/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trasfusionali relative al sangue umano e ai suoi componenti e per 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produzione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plasmaderivati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», con particolare riguardo agli articoli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 e 3, comma 2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Visto il decreto ministeriale 25 gennaio 2001, «Caratteristiche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per la donazione del sangue ed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»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Visto il decreto ministeriale 26 gennaio 2001 recante «Protocolli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per l`accertamento della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idoneita`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del donatore di sangue ed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» e sue successive integrazioni e modificazioni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Visto il decreto legislativo 17 marzo 1995, n. 230, - Attuazione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delle direttive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Euratom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80/836, 84/467, 84/466, 891618, 90/641 e 9213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 materia di radiazioni ionizzanti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Visti il decreto legislativo 19 settembre 1994, n. 626, ed il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decreto legislativo 19 marzo 1996, n. 242, «Attuazione delle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direttive comunitarie riguardanti il miglioramento della sicurezza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della salute dei lavoratori sul luogo di lavoro»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Vista la Raccomandazione R 95(15), sulla «Preparazione, uso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garanzia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qualita`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», adottata il 12 ottobre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1995 dal Comitato dei Ministri del Consiglio d`Europa e la relativa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appendice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Vista la raccomandazione del Consiglio del 29 giugno 1998, sulla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«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Idoneita`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dei donatori di sangue e di plasma e la verifica delle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donazioni di sangue nella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Comunita`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Europea» (98/463/CE)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Vista la Direttiva 2002/98/CE del Parlamento Europeo e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Consiglio del 27 gennaio 2003 che stabilisce norme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qualita`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 di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sicurezza per la raccolta, il controllo, la lavorazione, 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conservazione e la distribuzione del sangue umano e dei suoi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componenti e che modifica la direttiva 2001/83/CE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Vista la direttiva 2004/33/CE della Commissione del 22 marzo 2004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che applica la direttiva 2002/98/CE del Parlamento europeo e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Consiglio relativa a taluni requisiti tecnici del sangue e degli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Vista la legge 31 dicembre 1996, n. 675, «Tutela delle persone e di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altri soggetti rispetto al trattamento dei dati personali»,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successive modificazioni ed integrazioni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Visto il decreto legislativo 30 giugno 2003, n. 196 «Codice in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materia di protezione dei dati personali»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Visto il provvedimento del Garante per la protezione dei dati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personali del 27 novembre 1997, «Autorizzazione n. 2/1997, al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trattamento dei dati idonei a rilevare lo stato di salute e la vita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sessuale»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Ravvisata 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necessita`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modificare, aggiornandolo, detto decreto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25 gennaio 2001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Sentito il parere della Commissione nazionale per il servizio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trasfusionale reso nella seduta del 21 settembre 2004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Acquisito il parere della Conferenza permanente per i rapporti tra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lo Stato, le regioni e le province autonome nella seduta del 3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febbraio 2005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Decreta: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E` approvato l`articolato concernente le caratteristiche e 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per la donazione del sangue 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composto da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18 articoli e tre allegati, uniti al presente decreto del quale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costituiscono parte integrante.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Il presente decreto, predisposto anche in attuazione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direttiva 2004/33/CE della Commissione del 22 marzo 2004, e` soggetto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 revisione con cadenza almeno biennale da parte della Commissione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nazionale per il servizio trasfusionale, sentito l`Istituto superiore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sanita`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in collaborazione con 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societa`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scientifiche di settore,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accogliendo le indicazioni formulate dagli organismi comunitari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internazionali finalizzate alla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piu`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elevata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qualita`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possibile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sangue e dei suoi prodotti, in rapporto alla sicurezza del donatore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del ricevente.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 xml:space="preserve">Procedure e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per la donazione di sangue intero o 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 xml:space="preserve">1. Il prelievo di sangue intero o di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(inclusi gli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preparati per uso topico) viene eseguito in una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struttura trasfusionale da personale all`uopo specificamente formato,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 ambienti idonei e con dotazioni che consentono di garantire gli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eventuali interventi di urgenza. Deve essere garantita la costante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manutenzione delle apparecchiature utilizzate.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Il responsabile della struttura trasfusionale predispone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protocolli di attuazione per le singole procedure, a partire dalle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metodiche di detersione e disinfezione della cute prima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venipuntura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che garantiscono l`asepsi, fino agli interventi e alla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registrazione in caso di reazione avversa; per ogni singola donazione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devono essere registrati i dati identificativi del personale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coinvolto, i dati del donatore, il tipo di procedura adottata,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l`anticoagulante ed eventualmente il sedimentante impiegato, il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volume ed il contenuto degli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raccolti, la durata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procedura, l`eventuale premedicazione farmacologica.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3. Preliminarmente e successivamente al prelievo, e` necessario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ispezionare i dispositivi per verificare l`assenza di qualsiasi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difetto; devono inoltre essere adottate misure volte ad evitare ogni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possibilita`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errore di identificazione del donatore,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nell`etichettatura dei dispositivi di prelievo e nelle corrispondenti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provette.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4. Durante l`intera procedura al donatore e` assicurata 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disponibilita`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un medico esperto onde fornire assistenza adeguata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 interventi d`urgenza in caso di complicazioni o di reazioni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indesiderate.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5. L`allegato n. 1 al presente decreto «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per la donazione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sangue intero 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», riporta 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da seguire relativamente al tipo di raccolta.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2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Prelievo di sangue intero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Si definisce «sangue intero» il sangue prelevato, per scopo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trasfusionale, dal donatore riconosciuto idoneo ai sensi della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normativa vigente, utilizzando materiale sterile e sacche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regolarmente autorizzate, contenenti una soluzione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anticoagulante-conservante.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Un nuovo dispositivo di prelievo deve essere utilizzato nel caso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in cui si rendesse necessaria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piu`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una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venipuntura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3. Se, all`apertura di una confezione, una o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piu`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sacche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risultassero abnormemente umide, tutte le sacche di quella confezione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debbono essere eliminate.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3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Prelievo in aferesi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Per aferesi si intende la raccolta di uno o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piu`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mediante separatori cellulari dal donatore riconosciuto idoneo ai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sensi della normativa vigente.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La eventuale premedicazione del donatore, eseguita allo scopo 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aumentare la raccolta di alcuni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e` consentita solo in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casi adeguatamente motivati e previa acquisizione del consenso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informato del donatore reso consapevole dello svolgimento della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procedura in ogni suo dettaglio.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4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Ristoro post donazione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Il donatore, dopo la donazione, deve avere adeguato riposo sul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lettino da prelievo e quindi ricevere un congruo ristoro,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comprendente anche l`assunzione di una adeguata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quantita`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liquidi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al predetto debbono inoltre essere fornite informazioni sul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comportamento da tenere nel periodo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postdonazione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5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Prelievo di cellule staminali emopoietiche periferiche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Le cellule staminali emopoietiche, in quanto cellule primitive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pluripotenti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in grado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automantenersi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differenziarsi e maturare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lungo tutte le linee ematiche, sono utilizzate dai centri trapianto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 midollo osseo, dopo adeguato condizionamento del ricevente, per un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trapianto in grado di consentire il recupero della normale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funzionalita`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midollare con la ricostituzione di tutte le linee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ematiche.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Le cellule sopramenzionate, che si rinvengono nel midollo osseo,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fra le cellule mononucleate del sangue periferico e nel sangue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cordone ombelicale, sono prelevate da donatore sano (trapianto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allogenico) o dallo stesso paziente a cui vengono successivamente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reinfuse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(trapianto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autologo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). 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quantita`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cellule da utilizzare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ai fini di un trapianto viene stabilita sulla base di protocolli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operativi predefiniti.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3. L`organizzazione per la raccolta di cellule staminali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emopoieitiche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deve prevedere personale medico e sanitario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appositamente formati: su richiesta formale del clinico, il medico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incaricato della raccolta. provvede all`espletamento della procedura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sulla base di protocolli concordati.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4. Per la raccolta di sangue da cordone ombelicale il medico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responsabile della raccolta concorda la procedura operativa con il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responsabile della struttura di ostetricia.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5. La raccolta di cellule staminali deve essere eseguita in asepsi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 con procedure in grado di assicurare la sopravvivenza delle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predette ed il loro sufficiente recupero. Le cellule raccolte vanno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immesse in un contenitore sterile, correttamente etichettato ed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eventualmente sottoposto 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criopreservazione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Titolo II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PREPARAZIONE, CONSERVAZIONE ED ETICHETTATURA DEL SANGUE INTERO EDEGLI EMOCOMPONENTI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6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Preparazione e conservazione del sangue intero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Il sangue intero, prelevato utilizzando materiale sterile 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sacche regolarmente autorizzate, deve essere conservato in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frigoemoteca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ad una temperatura di 4°C (+ o - 2°C) per un periodo di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tempo, adeguato al tipo di anticoagulante-conservante impiegato, che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deve essere in ogni caso definito sulla base della sopravvivenza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post-trasfusionale delle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emazie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uguale o superiore al 75% a 24 ore.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Nel caso in cui l`unita` di sangue intero debba essere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utilizzata per la preparazione di concentrati piastrinici, la sacca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deve essere mantenuta a 22°C (+ o - 2°C) per il tempo strettamente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necessario.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7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 xml:space="preserve">Preparazione degli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: norme generali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Per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si intendono i costituenti terapeutici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sangue che possono essere preparati utilizzando mezzi fisici semplici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volti ad ottenere la loro separazione.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2. La preparazione degli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e` effettuata con l`impiego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di metodi asettici e materiali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apirogeni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 il periodo di conservazione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e` determinato dalla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vitalita`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 dalla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stabilita`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del componente.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3. 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crioconservati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possono essere utilizzati solo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se conformi ai criteri di validazione previsti dalle norme vigenti.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4. L`allegato n. 2 al presente decreto «Preparazione degli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 loro conservazione» riporta le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preparazione e conservazione dei diversi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. La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sterilita`</w:t>
      </w:r>
      <w:proofErr w:type="spellEnd"/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degli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preparati e la loro rispondenza ai requisiti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indicati nell`allegato n. 2, debbono essere sottoposte a periodici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controlli e i risultati devono essere documentati.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8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Frigoriferi e congelatori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lastRenderedPageBreak/>
        <w:t>1. I frigoriferi per la conservazione del sangue e degli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debbono assicurare una adeguata ed uniforme temperatura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all`interno ed essere provvisti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termoregistratore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ed allarme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visivo ed acustico. L`allarme deve essere posizionato in modo da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poter essere prontamente rilevato dal personale addetto il quale deve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intervenire prima che il sangue e 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raggiungano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temperature tali da deteriorarli.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I congelatori utilizzati per la conservazione di alcuni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debbono raggiungere la temperatura richiesta dal tipo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 conservazione che si vuole ottenere; i predetti debbono possedere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le caratteristiche di cui al comma precedente.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9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 xml:space="preserve">Scadenza del sangue e degli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La data di scadenza del sangue e degli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si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identifica con l`ultimo giorno in cui i predetti possono essere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considerati utili agli effetti della trasfusione; la data di scadenza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deve essere indicata in etichetta.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10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Etichettatura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Sui contenitori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sangue 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debbono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essere apposte apposite etichette conformi a quanto indicato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nell`allegato n. 3 al presente decreto, «Etichettatura».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Titolo III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RICHIESTA E ASSEGNAZIONE DEL SANGUE E DEGLI EMOCOMPONENTI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11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Consenso informato del ricevente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Il ricevente la trasfusione di sangue o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e/o 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somministrazione di emoderivati, preventivamente informato che tali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procedure possono non essere comunque esenti da rischio, e` tenuto ad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esprimere per iscritto il proprio consenso o dissenso.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12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Sicurezza trasfusionale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Ai fini della prevenzione degli errori trasfusionali, nelle fasi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di prelievo dei campioni per le indagini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pretrasfusionali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 al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momento della trasfusione devono essere adottate procedure di sicura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identificazione del paziente, delle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trasfusionali e dei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campioni di sangue.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13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 xml:space="preserve">Richiesta di sangue ed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La richiesta di sangue e/o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contenente 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generalita`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del paziente e l`indicazione alla trasfusione, deve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essere firmata dal medico su apposito modulo fornito dalla struttura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trasfusionale o su propria carta intestata o su quella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struttura di degenza del ricevente.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La predetta richiesta deve essere di norma accompagnata da un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campione di sangue del ricevente per l`effettuazione delle prove 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cui al successivo art. 14.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3. Il campione deve essere raccolto in provetta sterile entro 72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ore precedenti la trasfusione, contrassegnato in modo da consentire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l`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identita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` del soggetto cui appartiene e firmato dal responsabile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del prelievo. Se il paziente e` stato trasfuso da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piu`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4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settimane, o non e` mai stato trasfuso, il campione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puo`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essere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raccolto entro i 7 giorni precedenti la trasfusione.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4. La struttura trasfusionale predispone una procedura documentata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per la valutazione dell`appropriatezza delle richieste.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5. Qualora da un ritardo della trasfusione possa derivare pericolo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 vita per il paziente, deve essere seguita, ai fini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assegnazione e consegna del sangue, la procedura predisposta dal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responsabile della struttura trasfusionale per la richiesta nei casi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 urgenza e di emergenza.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14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 xml:space="preserve">Prove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pretrasfusionali</w:t>
      </w:r>
      <w:proofErr w:type="spellEnd"/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La struttura trasfusionale predispone una procedura documentata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per l`assegnazione di sangue ed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che garantisca presso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la struttura l`esecuzione di indagini idonee ad accertare 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compatibilita`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fra il donatore ed il ricevente.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2. Per 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contenti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emazie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la procedura deve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descrivere 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con cui vengono effettuate le seguenti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indagini: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A) Esami sul sangue del donatore: conferma del gruppo AB0 e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tipo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Rh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(non necessariamente effettuato al momento dell`assegnazione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o delle prove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pretrasfusionali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)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B) Esami sul sangue del ricevente: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1) Determinazione del gruppo AB0 e del tipo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Rh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del ricevente: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nelle procedure non urgenti e ove le condizioni cliniche lo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consentano la determinazione del gruppo AB0 e del tipo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Rh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deve essere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effettuata su due campioni di sangue prelevati in due momenti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diversi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;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2) Ricerca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alloanticorpi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irregolari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antiemazie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volta ad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escludere la presenza di anticorpi irregolari di rilevanza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trasfusionale. Nel neonato, al primo evento trasfusionale, la ricerca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puo`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essere effettuata sul siero materno.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La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negativita`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della ricerca anzidetta consente di omettere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l`esecuzione delle prove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compatibilita`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tra i globuli rossi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donatore ed il siero o plasma del ricevente,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purche`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siano state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attuate misure volte a garantire la sicurezza trasfusionale.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Le predette prove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compatibilita`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debbono, invece, essere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obbligatoriamente eseguite ogni qualvolta siano stati rilevati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anticorpi irregolari anti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emazie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3. Per gli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contenenti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emazie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la procedura deve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descrivere le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modalita`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con cui si assicura che i campioni di sangue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del ricevente e quelli relativi ad ogni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trasfusa vengono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conservati per sette giorni dopo la trasfusione.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4. Tutti i campioni di sangue diretti alla tipizzazione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eritrocitaria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, alla ricerca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alloanticorpi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irregolari, alla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esecuzione delle prove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compatibilita`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devono essere perfettamente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identificabili e firmati dal responsabile del prelievo.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15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Tracciabilita`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della trasfusione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Presso ogni struttura trasfusionale e` adottato, per ciascuna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sangue e/o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distribuita, un sistema di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sicuro riconoscimento del ricevente cui la stessa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e` stata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assegnata con l`indicazione se siano stati eseguiti i test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pretrasfusionali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2. Ogni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sangue e/o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, all`atto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consegna, deve essere accompagnata dal modulo di trasfusione recante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 dati del ricevente cui la trasfusione e` destinata.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3. Alla struttura trasfusionale deve pervenire documentazione di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ogni atto trasfusionale e di eventuali reazioni avverse da parte del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medico utilizzatore della terapia stessa.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16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Trasporto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1. Le strutture trasfusionali predispongono procedure atte a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garantire che il trasporto di sangue ed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ad ogni stadio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della catena trasfusionale avvenga in condizioni che consentono 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mantenere l`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integrita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` del prodotto.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2. Le sacche contenenti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di sangue e di </w:t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emocomponenti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debbono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essere ispezionate immediatamente prima del trasporto ed in caso di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riscontro di eventuali anomalie dell`aspetto e del colore debbono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essere eliminate. L`esame ispettivo delle sacche deve essere ripetuto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da chi riceve i preparati inviati.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17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  <w:proofErr w:type="spellStart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Unita`</w:t>
      </w:r>
      <w:proofErr w:type="spellEnd"/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non utilizzate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1. Qualora l`unita` di sangue o di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emocomponente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richiesta non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venga utilizzata, il richiedente provvede alla restituzione della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stessa alla struttura trasfusionale fornitrice nel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piu`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breve tempo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possibile.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2. L`unita` restituita deve essere accompagnata da una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documentazione attestante la sua </w:t>
      </w:r>
      <w:proofErr w:type="spellStart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integrita`</w:t>
      </w:r>
      <w:proofErr w:type="spellEnd"/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e l`osservanza dei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protocolli stabiliti dal responsabile della struttura trasfusionale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relativamente alla sua conservazione e trasporto.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</w:r>
    </w:p>
    <w:p w:rsidR="003050DA" w:rsidRDefault="003050DA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>Articolo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18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Il presente decreto entra in vigore il quindicesimo giorno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successivo alla sua pubblicazione nella Gazzetta Ufficiale della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Repubblica italiana. A partire da tale data e` abrogato il decreto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ministeriale 25 gennaio 2001.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8B1754"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Roma, 3 marzo 2005</w:t>
      </w:r>
      <w:r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Il Ministro: Sirchia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3050DA" w:rsidRDefault="008B1754" w:rsidP="003050DA">
      <w:pPr>
        <w:spacing w:after="0"/>
        <w:rPr>
          <w:rFonts w:ascii="Arial" w:eastAsia="Times New Roman" w:hAnsi="Arial" w:cs="Arial"/>
          <w:color w:val="333333"/>
          <w:sz w:val="11"/>
          <w:szCs w:val="11"/>
          <w:lang w:eastAsia="it-IT"/>
        </w:rPr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br/>
        <w:t>Registrato alla Corte dei conti il 6 aprile 2005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</w:p>
    <w:p w:rsidR="008B2FD1" w:rsidRDefault="008B1754" w:rsidP="003050DA">
      <w:pPr>
        <w:spacing w:after="0"/>
      </w:pP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Ufficio di controllo preventivo sui Ministeri dei servizi alla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Pr="008B1754">
        <w:rPr>
          <w:rFonts w:ascii="Arial" w:eastAsia="Times New Roman" w:hAnsi="Arial" w:cs="Arial"/>
          <w:color w:val="333333"/>
          <w:sz w:val="11"/>
          <w:szCs w:val="11"/>
          <w:lang w:eastAsia="it-IT"/>
        </w:rPr>
        <w:t>persona e dei beni culturali, registro n. 1, foglio n. 304 </w:t>
      </w:r>
      <w:r w:rsidR="003050DA">
        <w:rPr>
          <w:rFonts w:ascii="Arial" w:eastAsia="Times New Roman" w:hAnsi="Arial" w:cs="Arial"/>
          <w:color w:val="333333"/>
          <w:sz w:val="11"/>
          <w:szCs w:val="11"/>
          <w:lang w:eastAsia="it-IT"/>
        </w:rPr>
        <w:t xml:space="preserve">  </w:t>
      </w:r>
      <w:r w:rsidR="003050DA">
        <w:t xml:space="preserve">   </w:t>
      </w:r>
    </w:p>
    <w:sectPr w:rsidR="008B2FD1" w:rsidSect="008B2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defaultTabStop w:val="708"/>
  <w:hyphenationZone w:val="283"/>
  <w:characterSpacingControl w:val="doNotCompress"/>
  <w:compat/>
  <w:rsids>
    <w:rsidRoot w:val="008B1754"/>
    <w:rsid w:val="00220F69"/>
    <w:rsid w:val="003050DA"/>
    <w:rsid w:val="008B1754"/>
    <w:rsid w:val="008B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7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8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088">
          <w:marLeft w:val="0"/>
          <w:marRight w:val="0"/>
          <w:marTop w:val="2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2716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2018-03-09T10:45:00Z</dcterms:created>
  <dcterms:modified xsi:type="dcterms:W3CDTF">2018-03-16T12:28:00Z</dcterms:modified>
</cp:coreProperties>
</file>